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3F7E" w14:textId="77777777" w:rsidR="00767E28" w:rsidRDefault="00F90E01">
      <w:pPr>
        <w:pStyle w:val="FrameContents"/>
        <w:jc w:val="center"/>
        <w:rPr>
          <w:sz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6" behindDoc="0" locked="0" layoutInCell="0" allowOverlap="1" wp14:anchorId="6A5625EA" wp14:editId="05F9801E">
            <wp:simplePos x="0" y="0"/>
            <wp:positionH relativeFrom="column">
              <wp:posOffset>2765425</wp:posOffset>
            </wp:positionH>
            <wp:positionV relativeFrom="paragraph">
              <wp:posOffset>-787400</wp:posOffset>
            </wp:positionV>
            <wp:extent cx="2966085" cy="72326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7" behindDoc="0" locked="0" layoutInCell="0" allowOverlap="1" wp14:anchorId="4FB4A6E9" wp14:editId="60741255">
            <wp:simplePos x="0" y="0"/>
            <wp:positionH relativeFrom="column">
              <wp:posOffset>2765425</wp:posOffset>
            </wp:positionH>
            <wp:positionV relativeFrom="paragraph">
              <wp:posOffset>-787400</wp:posOffset>
            </wp:positionV>
            <wp:extent cx="2966085" cy="72326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40"/>
          <w:szCs w:val="56"/>
        </w:rPr>
        <w:t>2024 Greater Manchester VCSE Sector Manifesto - Initial Ideas</w:t>
      </w:r>
    </w:p>
    <w:p w14:paraId="10A6B611" w14:textId="77777777" w:rsidR="00767E28" w:rsidRDefault="00F90E01">
      <w:pPr>
        <w:pStyle w:val="Heading1"/>
        <w:spacing w:before="280" w:after="280"/>
      </w:pPr>
      <w:r>
        <w:t>1. Context</w:t>
      </w:r>
    </w:p>
    <w:p w14:paraId="66A3763A" w14:textId="77777777" w:rsidR="00767E28" w:rsidRDefault="00F90E01">
      <w:p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This paper contains some policy ideas and suggestions from the GM VCSE Leadership Group. Consultations in the GM VCSE Leadership Group meetings assembled a number of popular </w:t>
      </w:r>
      <w:r>
        <w:rPr>
          <w:rFonts w:ascii="Arial" w:hAnsi="Arial" w:cstheme="minorHAnsi"/>
        </w:rPr>
        <w:t>manifesto ideas</w:t>
      </w:r>
      <w:r>
        <w:rPr>
          <w:rStyle w:val="FootnoteAnchor"/>
          <w:rFonts w:ascii="Arial" w:hAnsi="Arial" w:cstheme="minorHAnsi"/>
        </w:rPr>
        <w:footnoteReference w:id="1"/>
      </w:r>
      <w:r>
        <w:rPr>
          <w:rFonts w:ascii="Arial" w:hAnsi="Arial" w:cstheme="minorHAnsi"/>
        </w:rPr>
        <w:t xml:space="preserve"> however this now is to be built on to create a broader, full Greater Manchester VCSE Manifesto.</w:t>
      </w:r>
    </w:p>
    <w:p w14:paraId="27FB76EC" w14:textId="77777777" w:rsidR="00767E28" w:rsidRDefault="00F90E01">
      <w:pPr>
        <w:rPr>
          <w:rFonts w:ascii="Arial" w:hAnsi="Arial" w:cstheme="minorHAnsi"/>
        </w:rPr>
      </w:pPr>
      <w:r>
        <w:rPr>
          <w:rFonts w:ascii="Arial" w:hAnsi="Arial" w:cstheme="minorHAnsi"/>
        </w:rPr>
        <w:t>The GM VCSE Leadership Group was set up to promote the role and involvement of the VCSE sector and communities in Greater Manchester devolution</w:t>
      </w:r>
      <w:r>
        <w:rPr>
          <w:rFonts w:ascii="Arial" w:hAnsi="Arial" w:cstheme="minorHAnsi"/>
        </w:rPr>
        <w:t>. Leadership Group members are Sector Leaders who can act as ‘catalysts and connectors’ on behalf of the Sector. The Leadership Group’s purpose is ending inequality in Greater Manchester in a generation, and to support the VCSE sector to play its full part</w:t>
      </w:r>
      <w:r>
        <w:rPr>
          <w:rFonts w:ascii="Arial" w:hAnsi="Arial" w:cstheme="minorHAnsi"/>
        </w:rPr>
        <w:t xml:space="preserve"> in Greater Manchester. The Group has a vision of a connected VCSE sector delivering a more socially just Greater Manchester that is addressing the priorities of its communities.</w:t>
      </w:r>
    </w:p>
    <w:p w14:paraId="750E0C21" w14:textId="77777777" w:rsidR="00767E28" w:rsidRDefault="00F90E01">
      <w:pPr>
        <w:pStyle w:val="Heading1"/>
        <w:spacing w:before="280" w:after="280"/>
      </w:pPr>
      <w:r>
        <w:t>2. Value of the sector</w:t>
      </w:r>
    </w:p>
    <w:p w14:paraId="36F44A5F" w14:textId="77777777" w:rsidR="00767E28" w:rsidRDefault="00F90E01">
      <w:r>
        <w:rPr>
          <w:rFonts w:ascii="Arial" w:hAnsi="Arial" w:cstheme="minorHAnsi"/>
        </w:rPr>
        <w:t>We write this paper in the knowledge that the Voluntar</w:t>
      </w:r>
      <w:r>
        <w:rPr>
          <w:rFonts w:ascii="Arial" w:hAnsi="Arial" w:cstheme="minorHAnsi"/>
        </w:rPr>
        <w:t>y, Community and Social Enterprise sector is a partner in GM development and prosperity. Our GM VCSE sector offers:</w:t>
      </w:r>
    </w:p>
    <w:p w14:paraId="54D5E611" w14:textId="77777777" w:rsidR="00767E28" w:rsidRDefault="00F90E01">
      <w:pPr>
        <w:numPr>
          <w:ilvl w:val="0"/>
          <w:numId w:val="2"/>
        </w:numPr>
      </w:pPr>
      <w:r>
        <w:rPr>
          <w:rFonts w:ascii="Arial" w:hAnsi="Arial" w:cstheme="minorHAnsi"/>
        </w:rPr>
        <w:t xml:space="preserve">A positive shift for a thriving society. </w:t>
      </w:r>
      <w:r>
        <w:rPr>
          <w:rFonts w:ascii="Arial" w:hAnsi="Arial" w:cstheme="minorHAnsi"/>
          <w:b/>
        </w:rPr>
        <w:t xml:space="preserve">We offer our commitment to the vision of a city region in which all residents are valued, included </w:t>
      </w:r>
      <w:r>
        <w:rPr>
          <w:rFonts w:ascii="Arial" w:hAnsi="Arial" w:cstheme="minorHAnsi"/>
          <w:b/>
        </w:rPr>
        <w:t>and safe to lead good lives</w:t>
      </w:r>
      <w:r>
        <w:rPr>
          <w:rFonts w:ascii="Arial" w:hAnsi="Arial" w:cstheme="minorHAnsi"/>
        </w:rPr>
        <w:t>. The VCSE sector represents the fabric of society; communities of locality, identity, experience</w:t>
      </w:r>
      <w:r>
        <w:rPr>
          <w:rFonts w:ascii="Arial" w:hAnsi="Arial" w:cstheme="minorHAnsi"/>
          <w:b/>
        </w:rPr>
        <w:t xml:space="preserve"> </w:t>
      </w:r>
      <w:r>
        <w:rPr>
          <w:rFonts w:ascii="Arial" w:hAnsi="Arial" w:cstheme="minorHAnsi"/>
        </w:rPr>
        <w:t>and interest.</w:t>
      </w:r>
    </w:p>
    <w:p w14:paraId="2CE805ED" w14:textId="77777777" w:rsidR="00767E28" w:rsidRDefault="00F90E01">
      <w:pPr>
        <w:numPr>
          <w:ilvl w:val="0"/>
          <w:numId w:val="2"/>
        </w:numPr>
      </w:pPr>
      <w:r>
        <w:rPr>
          <w:rFonts w:ascii="Arial" w:hAnsi="Arial" w:cstheme="minorHAnsi"/>
          <w:b/>
        </w:rPr>
        <w:t>Our ability to engage, inform, consult, support and mobilise residents and communities</w:t>
      </w:r>
      <w:r>
        <w:rPr>
          <w:rFonts w:ascii="Arial" w:hAnsi="Arial" w:cstheme="minorHAnsi"/>
        </w:rPr>
        <w:t xml:space="preserve"> as they exist, not just at sca</w:t>
      </w:r>
      <w:r>
        <w:rPr>
          <w:rFonts w:ascii="Arial" w:hAnsi="Arial" w:cstheme="minorHAnsi"/>
        </w:rPr>
        <w:t xml:space="preserve">le but also at a granular level – we reach the nooks and crannies not reached by politicians or the public sector; </w:t>
      </w:r>
    </w:p>
    <w:p w14:paraId="5C381037" w14:textId="77777777" w:rsidR="00767E28" w:rsidRDefault="00F90E01">
      <w:pPr>
        <w:numPr>
          <w:ilvl w:val="0"/>
          <w:numId w:val="2"/>
        </w:numPr>
      </w:pPr>
      <w:r>
        <w:rPr>
          <w:rFonts w:ascii="Arial" w:hAnsi="Arial" w:cstheme="minorHAnsi"/>
          <w:b/>
        </w:rPr>
        <w:t xml:space="preserve">Our wide and deep knowledge of the barriers to attaining equality of outcomes, </w:t>
      </w:r>
      <w:r>
        <w:rPr>
          <w:rFonts w:ascii="Arial" w:hAnsi="Arial" w:cstheme="minorHAnsi"/>
        </w:rPr>
        <w:t>which are experienced by different communities, and how to ov</w:t>
      </w:r>
      <w:r>
        <w:rPr>
          <w:rFonts w:ascii="Arial" w:hAnsi="Arial" w:cstheme="minorHAnsi"/>
        </w:rPr>
        <w:t>ercome them;</w:t>
      </w:r>
      <w:r>
        <w:rPr>
          <w:rFonts w:ascii="Arial" w:hAnsi="Arial" w:cstheme="minorHAnsi"/>
          <w:b/>
        </w:rPr>
        <w:t xml:space="preserve"> </w:t>
      </w:r>
    </w:p>
    <w:p w14:paraId="6DD2F3E1" w14:textId="77777777" w:rsidR="00767E28" w:rsidRDefault="00F90E01">
      <w:pPr>
        <w:numPr>
          <w:ilvl w:val="0"/>
          <w:numId w:val="2"/>
        </w:numPr>
      </w:pPr>
      <w:r>
        <w:rPr>
          <w:rFonts w:ascii="Arial" w:hAnsi="Arial" w:cstheme="minorHAnsi"/>
          <w:b/>
        </w:rPr>
        <w:t xml:space="preserve">Our expertise in social and economic innovation and our learning from trialling new approaches to difficult problems; </w:t>
      </w:r>
      <w:r>
        <w:rPr>
          <w:rFonts w:ascii="Arial" w:hAnsi="Arial" w:cstheme="minorHAnsi"/>
        </w:rPr>
        <w:t>we have evidence and the expertise to innovate, the ideas have just not been mainstreamed yet</w:t>
      </w:r>
    </w:p>
    <w:p w14:paraId="50E30024" w14:textId="77777777" w:rsidR="00767E28" w:rsidRDefault="00F90E01">
      <w:pPr>
        <w:numPr>
          <w:ilvl w:val="0"/>
          <w:numId w:val="2"/>
        </w:numPr>
      </w:pPr>
      <w:r>
        <w:rPr>
          <w:rFonts w:ascii="Arial" w:hAnsi="Arial" w:cstheme="minorHAnsi"/>
          <w:b/>
        </w:rPr>
        <w:t>Our independent resources incl</w:t>
      </w:r>
      <w:r>
        <w:rPr>
          <w:rFonts w:ascii="Arial" w:hAnsi="Arial" w:cstheme="minorHAnsi"/>
          <w:b/>
        </w:rPr>
        <w:t>uding volunteers and funding which we can align with public and private sector resources to achieve common goals.</w:t>
      </w:r>
    </w:p>
    <w:p w14:paraId="2F89333B" w14:textId="77777777" w:rsidR="00767E28" w:rsidRDefault="00F90E01">
      <w:pPr>
        <w:numPr>
          <w:ilvl w:val="1"/>
          <w:numId w:val="3"/>
        </w:numPr>
      </w:pPr>
      <w:r>
        <w:rPr>
          <w:rFonts w:ascii="Arial" w:hAnsi="Arial" w:cstheme="minorHAnsi"/>
        </w:rPr>
        <w:lastRenderedPageBreak/>
        <w:t>Volunteer time in Greater Manchester is conservatively valued at £692 million per annum</w:t>
      </w:r>
    </w:p>
    <w:p w14:paraId="3D7F2338" w14:textId="77777777" w:rsidR="00767E28" w:rsidRDefault="00F90E01">
      <w:pPr>
        <w:numPr>
          <w:ilvl w:val="1"/>
          <w:numId w:val="3"/>
        </w:numPr>
      </w:pPr>
      <w:r>
        <w:rPr>
          <w:rFonts w:ascii="Arial" w:hAnsi="Arial" w:cstheme="minorHAnsi"/>
        </w:rPr>
        <w:t>75% of VCSE organisations in Greater Manchester pay th</w:t>
      </w:r>
      <w:r>
        <w:rPr>
          <w:rFonts w:ascii="Arial" w:hAnsi="Arial" w:cstheme="minorHAnsi"/>
        </w:rPr>
        <w:t>e Real Living Wage</w:t>
      </w:r>
    </w:p>
    <w:p w14:paraId="5176EB71" w14:textId="77777777" w:rsidR="00767E28" w:rsidRDefault="00F90E01">
      <w:pPr>
        <w:numPr>
          <w:ilvl w:val="1"/>
          <w:numId w:val="3"/>
        </w:numPr>
      </w:pPr>
      <w:r>
        <w:rPr>
          <w:rFonts w:ascii="Arial" w:hAnsi="Arial" w:cstheme="minorHAnsi"/>
        </w:rPr>
        <w:t xml:space="preserve">75,610 paid employees (equal to 46,122 FTE) in the voluntary, community and social enterprise (VCSE) sector in Greater Manchester. </w:t>
      </w:r>
    </w:p>
    <w:p w14:paraId="5A332E8F" w14:textId="77777777" w:rsidR="00767E28" w:rsidRDefault="00F90E01">
      <w:pPr>
        <w:numPr>
          <w:ilvl w:val="1"/>
          <w:numId w:val="3"/>
        </w:numPr>
      </w:pPr>
      <w:r>
        <w:rPr>
          <w:rFonts w:ascii="Arial" w:hAnsi="Arial" w:cstheme="minorHAnsi"/>
        </w:rPr>
        <w:t>496,609 volunteers (including committee members and trustees)</w:t>
      </w:r>
    </w:p>
    <w:p w14:paraId="788DFBFD" w14:textId="77777777" w:rsidR="00767E28" w:rsidRDefault="00F90E01">
      <w:pPr>
        <w:pStyle w:val="Heading1"/>
        <w:numPr>
          <w:ilvl w:val="1"/>
          <w:numId w:val="20"/>
        </w:numPr>
        <w:spacing w:before="280" w:after="0"/>
      </w:pPr>
      <w:r>
        <w:t>3. 2024 Initial Manifesto Ideas</w:t>
      </w:r>
    </w:p>
    <w:p w14:paraId="7A090328" w14:textId="77777777" w:rsidR="00767E28" w:rsidRDefault="00F90E01">
      <w:pPr>
        <w:pStyle w:val="Heading2"/>
        <w:numPr>
          <w:ilvl w:val="1"/>
          <w:numId w:val="21"/>
        </w:numPr>
        <w:rPr>
          <w:sz w:val="28"/>
        </w:rPr>
      </w:pPr>
      <w:r>
        <w:t>3.1 Collabo</w:t>
      </w:r>
      <w:r>
        <w:t>rate with our communities</w:t>
      </w:r>
    </w:p>
    <w:p w14:paraId="46CB0540" w14:textId="77777777" w:rsidR="00767E28" w:rsidRDefault="00F90E01">
      <w:pPr>
        <w:numPr>
          <w:ilvl w:val="0"/>
          <w:numId w:val="5"/>
        </w:numPr>
      </w:pPr>
      <w:r>
        <w:rPr>
          <w:rFonts w:ascii="Arial" w:eastAsia="Times New Roman" w:hAnsi="Arial"/>
          <w:b/>
        </w:rPr>
        <w:t>We need to see a new community-centred model of driving opportunity and change.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color w:val="000000"/>
        </w:rPr>
        <w:t xml:space="preserve">This new model must put emphasis on consistent co-production and co-design with local people and the organisations that represent and support them. </w:t>
      </w:r>
    </w:p>
    <w:p w14:paraId="75953B7E" w14:textId="77777777" w:rsidR="00767E28" w:rsidRDefault="00F90E01">
      <w:pPr>
        <w:numPr>
          <w:ilvl w:val="0"/>
          <w:numId w:val="5"/>
        </w:numPr>
      </w:pPr>
      <w:r>
        <w:rPr>
          <w:rFonts w:ascii="Arial" w:eastAsia="Times New Roman" w:hAnsi="Arial"/>
          <w:b/>
          <w:color w:val="000000"/>
        </w:rPr>
        <w:t>W</w:t>
      </w:r>
      <w:r>
        <w:rPr>
          <w:rFonts w:ascii="Arial" w:eastAsia="Times New Roman" w:hAnsi="Arial"/>
          <w:b/>
          <w:color w:val="000000"/>
        </w:rPr>
        <w:t>e need to see a collaborative model of working across GM with partners to ensure that the VCSE plays a full role in single settlement and public service reform.</w:t>
      </w:r>
    </w:p>
    <w:p w14:paraId="79184968" w14:textId="77777777" w:rsidR="00767E28" w:rsidRDefault="00F90E01">
      <w:pPr>
        <w:numPr>
          <w:ilvl w:val="0"/>
          <w:numId w:val="5"/>
        </w:num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Ensure those with lived experience, are included in policy making, </w:t>
      </w:r>
      <w:r>
        <w:rPr>
          <w:rFonts w:ascii="Arial" w:eastAsia="Times New Roman" w:hAnsi="Arial"/>
          <w:color w:val="000000"/>
        </w:rPr>
        <w:t xml:space="preserve">using guidance developed by </w:t>
      </w:r>
      <w:r>
        <w:rPr>
          <w:rFonts w:ascii="Arial" w:eastAsia="Times New Roman" w:hAnsi="Arial"/>
          <w:color w:val="000000"/>
        </w:rPr>
        <w:t>GM Equalities Alliance.</w:t>
      </w:r>
    </w:p>
    <w:p w14:paraId="33C505B4" w14:textId="77777777" w:rsidR="00767E28" w:rsidRDefault="00F90E01">
      <w:pPr>
        <w:numPr>
          <w:ilvl w:val="0"/>
          <w:numId w:val="5"/>
        </w:numPr>
      </w:pPr>
      <w:r>
        <w:rPr>
          <w:rFonts w:ascii="Arial" w:eastAsia="Times New Roman" w:hAnsi="Arial"/>
          <w:b/>
          <w:bCs/>
        </w:rPr>
        <w:t xml:space="preserve">Tackle gender-based violence through social programmes, such as those promoting ‘positive masculinity’. </w:t>
      </w:r>
    </w:p>
    <w:p w14:paraId="2878AC06" w14:textId="77777777" w:rsidR="00767E28" w:rsidRDefault="00F90E01">
      <w:pPr>
        <w:numPr>
          <w:ilvl w:val="0"/>
          <w:numId w:val="5"/>
        </w:numPr>
      </w:pPr>
      <w:r>
        <w:rPr>
          <w:rFonts w:ascii="Arial" w:eastAsia="Times New Roman" w:hAnsi="Arial"/>
        </w:rPr>
        <w:t xml:space="preserve">Build on our </w:t>
      </w:r>
      <w:r>
        <w:rPr>
          <w:rFonts w:ascii="Arial" w:eastAsia="Times New Roman" w:hAnsi="Arial"/>
          <w:b/>
        </w:rPr>
        <w:t>GM VCSE Accord agreement</w:t>
      </w:r>
      <w:r>
        <w:rPr>
          <w:rFonts w:ascii="Arial" w:eastAsia="Times New Roman" w:hAnsi="Arial"/>
        </w:rPr>
        <w:t>, connecting our Greater Manchester VCSE sector of 17,000 charities and community groups w</w:t>
      </w:r>
      <w:r>
        <w:rPr>
          <w:rFonts w:ascii="Arial" w:eastAsia="Times New Roman" w:hAnsi="Arial"/>
        </w:rPr>
        <w:t>ith the Greater Manchester Combined Authority and the Greater Manchester Health and Social Care Partnership.</w:t>
      </w:r>
    </w:p>
    <w:p w14:paraId="386C2FA8" w14:textId="77777777" w:rsidR="00767E28" w:rsidRDefault="00F90E01">
      <w:pPr>
        <w:pStyle w:val="Heading2"/>
        <w:numPr>
          <w:ilvl w:val="1"/>
          <w:numId w:val="22"/>
        </w:numPr>
      </w:pPr>
      <w:r>
        <w:t>3.2 Cost of living crisis</w:t>
      </w:r>
    </w:p>
    <w:p w14:paraId="296D12D4" w14:textId="77777777" w:rsidR="00767E28" w:rsidRDefault="00F90E01">
      <w:pPr>
        <w:numPr>
          <w:ilvl w:val="0"/>
          <w:numId w:val="6"/>
        </w:numPr>
        <w:tabs>
          <w:tab w:val="clear" w:pos="720"/>
          <w:tab w:val="left" w:pos="1069"/>
        </w:tabs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GM VCSE Fair Funding Protocol,</w:t>
      </w:r>
      <w:r>
        <w:rPr>
          <w:rFonts w:ascii="Arial" w:hAnsi="Arial"/>
        </w:rPr>
        <w:t xml:space="preserve"> ensures funding given to the VCSE sector is paid fairly, includes inflationary uplifts, </w:t>
      </w:r>
      <w:r>
        <w:rPr>
          <w:rFonts w:ascii="Arial" w:hAnsi="Arial"/>
          <w:color w:val="000000" w:themeColor="text1"/>
        </w:rPr>
        <w:t xml:space="preserve">and doesn’t pass on cuts disproportionately to the voluntary sector amongst other commitments. </w:t>
      </w:r>
      <w:r>
        <w:rPr>
          <w:rFonts w:ascii="Arial" w:hAnsi="Arial"/>
          <w:b/>
          <w:bCs/>
          <w:color w:val="000000" w:themeColor="text1"/>
        </w:rPr>
        <w:t>A</w:t>
      </w:r>
      <w:r>
        <w:rPr>
          <w:rFonts w:ascii="Arial" w:hAnsi="Arial"/>
          <w:b/>
          <w:bCs/>
        </w:rPr>
        <w:t>ct on these commitments and promote this agreement with local authoriti</w:t>
      </w:r>
      <w:r>
        <w:rPr>
          <w:rFonts w:ascii="Arial" w:hAnsi="Arial"/>
          <w:b/>
          <w:bCs/>
        </w:rPr>
        <w:t xml:space="preserve">es and the NHS Integrated Care System. </w:t>
      </w:r>
      <w:r>
        <w:rPr>
          <w:rFonts w:ascii="Arial" w:hAnsi="Arial"/>
        </w:rPr>
        <w:t xml:space="preserve">We need to see </w:t>
      </w:r>
      <w:r>
        <w:rPr>
          <w:rFonts w:ascii="Arial" w:hAnsi="Arial" w:cstheme="minorHAnsi"/>
          <w:b/>
          <w:bCs/>
        </w:rPr>
        <w:t>parity of esteem with NHS providers.</w:t>
      </w:r>
    </w:p>
    <w:p w14:paraId="58781DD7" w14:textId="77777777" w:rsidR="00767E28" w:rsidRDefault="00F90E01">
      <w:pPr>
        <w:numPr>
          <w:ilvl w:val="0"/>
          <w:numId w:val="6"/>
        </w:numPr>
        <w:tabs>
          <w:tab w:val="clear" w:pos="720"/>
          <w:tab w:val="left" w:pos="1069"/>
        </w:tabs>
      </w:pPr>
      <w:r>
        <w:rPr>
          <w:rFonts w:ascii="Arial" w:hAnsi="Arial"/>
        </w:rPr>
        <w:t xml:space="preserve">Greater wealth-building through </w:t>
      </w:r>
      <w:r>
        <w:rPr>
          <w:rFonts w:ascii="Arial" w:hAnsi="Arial"/>
          <w:b/>
          <w:bCs/>
        </w:rPr>
        <w:t>progress with the Greater Manchester Community Wealth Hub</w:t>
      </w:r>
      <w:r>
        <w:rPr>
          <w:rFonts w:ascii="Arial" w:hAnsi="Arial"/>
        </w:rPr>
        <w:t>.</w:t>
      </w:r>
    </w:p>
    <w:p w14:paraId="131D9E3F" w14:textId="77777777" w:rsidR="00767E28" w:rsidRDefault="00F90E01">
      <w:pPr>
        <w:numPr>
          <w:ilvl w:val="0"/>
          <w:numId w:val="6"/>
        </w:numPr>
        <w:tabs>
          <w:tab w:val="clear" w:pos="720"/>
          <w:tab w:val="left" w:pos="1069"/>
        </w:tabs>
      </w:pPr>
      <w:r>
        <w:rPr>
          <w:rFonts w:ascii="Arial" w:hAnsi="Arial"/>
          <w:b/>
        </w:rPr>
        <w:t>Progress in working towards the recommendations of the Independent Inequal</w:t>
      </w:r>
      <w:r>
        <w:rPr>
          <w:rFonts w:ascii="Arial" w:hAnsi="Arial"/>
          <w:b/>
        </w:rPr>
        <w:t xml:space="preserve">ities Commission, </w:t>
      </w:r>
      <w:r>
        <w:rPr>
          <w:rFonts w:ascii="Arial" w:hAnsi="Arial"/>
          <w:b/>
          <w:bCs/>
        </w:rPr>
        <w:t xml:space="preserve">including building a </w:t>
      </w:r>
      <w:r>
        <w:rPr>
          <w:rFonts w:ascii="Arial" w:hAnsi="Arial"/>
          <w:b/>
          <w:bCs/>
          <w:color w:val="000000"/>
        </w:rPr>
        <w:t xml:space="preserve">Community Investment Platform </w:t>
      </w:r>
      <w:r>
        <w:rPr>
          <w:rFonts w:ascii="Arial" w:hAnsi="Arial"/>
          <w:b/>
          <w:bCs/>
        </w:rPr>
        <w:t>and Inclusive Ownership Hub</w:t>
      </w:r>
      <w:r>
        <w:rPr>
          <w:rFonts w:ascii="Arial" w:hAnsi="Arial"/>
          <w:b/>
        </w:rPr>
        <w:t>.</w:t>
      </w:r>
      <w:r>
        <w:rPr>
          <w:rStyle w:val="FootnoteAnchor"/>
          <w:rFonts w:ascii="Arial" w:hAnsi="Arial"/>
          <w:b/>
        </w:rPr>
        <w:footnoteReference w:id="2"/>
      </w:r>
    </w:p>
    <w:p w14:paraId="724C81E5" w14:textId="77777777" w:rsidR="00767E28" w:rsidRDefault="00F90E01">
      <w:pPr>
        <w:pStyle w:val="Heading2"/>
        <w:numPr>
          <w:ilvl w:val="1"/>
          <w:numId w:val="23"/>
        </w:numPr>
      </w:pPr>
      <w:r>
        <w:lastRenderedPageBreak/>
        <w:t>3.3 Resilient workforces for resilient communities</w:t>
      </w:r>
    </w:p>
    <w:p w14:paraId="7C201211" w14:textId="77777777" w:rsidR="00767E28" w:rsidRDefault="00F90E01">
      <w:pPr>
        <w:numPr>
          <w:ilvl w:val="0"/>
          <w:numId w:val="7"/>
        </w:numPr>
      </w:pPr>
      <w:r>
        <w:rPr>
          <w:rFonts w:ascii="Arial" w:hAnsi="Arial"/>
          <w:b/>
        </w:rPr>
        <w:t xml:space="preserve">We need to see workforce support programmes for the Voluntary, Community and Social Enterprise Sector, </w:t>
      </w:r>
      <w:r>
        <w:rPr>
          <w:rFonts w:ascii="Arial" w:hAnsi="Arial"/>
        </w:rPr>
        <w:t>vie</w:t>
      </w:r>
      <w:r>
        <w:rPr>
          <w:rFonts w:ascii="Arial" w:hAnsi="Arial"/>
        </w:rPr>
        <w:t>wing workers in GM as “one workforce” and by supporting key development programmes such as the 10GM workforce development programme</w:t>
      </w:r>
      <w:r>
        <w:rPr>
          <w:rFonts w:ascii="Arial" w:hAnsi="Arial"/>
          <w:b/>
        </w:rPr>
        <w:t xml:space="preserve">. </w:t>
      </w:r>
    </w:p>
    <w:p w14:paraId="75621B52" w14:textId="77777777" w:rsidR="00767E28" w:rsidRDefault="00F90E01">
      <w:pPr>
        <w:numPr>
          <w:ilvl w:val="0"/>
          <w:numId w:val="7"/>
        </w:numPr>
      </w:pPr>
      <w:r>
        <w:rPr>
          <w:rFonts w:ascii="Arial" w:hAnsi="Arial"/>
          <w:b/>
          <w:bCs/>
        </w:rPr>
        <w:t>We need to see wages keep up with the cost-of-living crisis, with Greater Manchester becoming the UK’s first Living Wage C</w:t>
      </w:r>
      <w:r>
        <w:rPr>
          <w:rFonts w:ascii="Arial" w:hAnsi="Arial"/>
          <w:b/>
          <w:bCs/>
        </w:rPr>
        <w:t>ity-Region.</w:t>
      </w:r>
    </w:p>
    <w:p w14:paraId="4FBF1073" w14:textId="77777777" w:rsidR="00767E28" w:rsidRDefault="00F90E01">
      <w:pPr>
        <w:numPr>
          <w:ilvl w:val="0"/>
          <w:numId w:val="7"/>
        </w:numPr>
      </w:pPr>
      <w:r>
        <w:rPr>
          <w:rFonts w:ascii="Arial" w:hAnsi="Arial"/>
          <w:b/>
          <w:bCs/>
        </w:rPr>
        <w:t>Support for improving the capacity of local VCSE organisations to tender for skills and employment funding.</w:t>
      </w:r>
    </w:p>
    <w:p w14:paraId="6FE6E8C3" w14:textId="77777777" w:rsidR="00767E28" w:rsidRDefault="00F90E01">
      <w:pPr>
        <w:pStyle w:val="Heading2"/>
        <w:numPr>
          <w:ilvl w:val="1"/>
          <w:numId w:val="24"/>
        </w:numPr>
      </w:pPr>
      <w:r>
        <w:t>3.4 Make our economies inclusive</w:t>
      </w:r>
    </w:p>
    <w:p w14:paraId="087C6AA4" w14:textId="77777777" w:rsidR="00767E28" w:rsidRDefault="00F90E01">
      <w:pPr>
        <w:numPr>
          <w:ilvl w:val="0"/>
          <w:numId w:val="8"/>
        </w:numPr>
      </w:pPr>
      <w:r>
        <w:rPr>
          <w:rFonts w:ascii="Arial" w:hAnsi="Arial" w:cstheme="minorHAnsi"/>
          <w:b/>
        </w:rPr>
        <w:t>Establish Greater Manchester as the first ‘social enterprise city region’</w:t>
      </w:r>
    </w:p>
    <w:p w14:paraId="2813DB57" w14:textId="77777777" w:rsidR="00767E28" w:rsidRDefault="00F90E01">
      <w:pPr>
        <w:numPr>
          <w:ilvl w:val="0"/>
          <w:numId w:val="8"/>
        </w:numPr>
      </w:pPr>
      <w:r>
        <w:rPr>
          <w:rFonts w:ascii="Arial" w:hAnsi="Arial"/>
          <w:b/>
        </w:rPr>
        <w:t>Adopt</w:t>
      </w:r>
      <w:r>
        <w:rPr>
          <w:rFonts w:ascii="Arial" w:hAnsi="Arial" w:cstheme="minorHAnsi"/>
          <w:b/>
        </w:rPr>
        <w:t xml:space="preserve"> the Socio-Economy Duty </w:t>
      </w:r>
      <w:r>
        <w:rPr>
          <w:rFonts w:ascii="Arial" w:hAnsi="Arial" w:cstheme="minorHAnsi"/>
        </w:rPr>
        <w:t>which</w:t>
      </w:r>
      <w:r>
        <w:rPr>
          <w:rFonts w:ascii="Arial" w:hAnsi="Arial"/>
        </w:rPr>
        <w:t xml:space="preserve"> places a legal obligation on public bodies to consider the social and economic impact of their decisions</w:t>
      </w:r>
    </w:p>
    <w:p w14:paraId="1CD25034" w14:textId="77777777" w:rsidR="00767E28" w:rsidRDefault="00F90E01">
      <w:pPr>
        <w:numPr>
          <w:ilvl w:val="0"/>
          <w:numId w:val="8"/>
        </w:numPr>
      </w:pPr>
      <w:r>
        <w:rPr>
          <w:rFonts w:ascii="Arial" w:hAnsi="Arial" w:cstheme="minorHAnsi"/>
          <w:b/>
        </w:rPr>
        <w:t>Set up a Socio-Economic Disadvantage Action Network</w:t>
      </w:r>
      <w:r>
        <w:rPr>
          <w:rFonts w:ascii="Arial" w:hAnsi="Arial" w:cstheme="minorHAnsi"/>
        </w:rPr>
        <w:t xml:space="preserve"> to sit alongside other thematic networks such as Homelessness and Food Securities Action Netw</w:t>
      </w:r>
      <w:r>
        <w:rPr>
          <w:rFonts w:ascii="Arial" w:hAnsi="Arial" w:cstheme="minorHAnsi"/>
        </w:rPr>
        <w:t>ork</w:t>
      </w:r>
    </w:p>
    <w:p w14:paraId="4B5BAC30" w14:textId="77777777" w:rsidR="00767E28" w:rsidRDefault="00F90E01">
      <w:pPr>
        <w:pStyle w:val="Heading2"/>
        <w:numPr>
          <w:ilvl w:val="1"/>
          <w:numId w:val="25"/>
        </w:numPr>
      </w:pPr>
      <w:r>
        <w:t>3.5 Making homes for all</w:t>
      </w:r>
    </w:p>
    <w:p w14:paraId="16E98A5A" w14:textId="77777777" w:rsidR="00767E28" w:rsidRDefault="00F90E01">
      <w:pPr>
        <w:numPr>
          <w:ilvl w:val="0"/>
          <w:numId w:val="9"/>
        </w:numPr>
        <w:spacing w:after="0"/>
        <w:textAlignment w:val="baseline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Good homes for all – create not a “housing strategy” but a “strategy for homes” </w:t>
      </w:r>
      <w:r>
        <w:rPr>
          <w:rFonts w:ascii="Arial" w:hAnsi="Arial" w:cstheme="minorHAnsi"/>
        </w:rPr>
        <w:t>We know that a good home is not only bricks and mortar, but a sense of security, stability and of community built through the connections forged in</w:t>
      </w:r>
      <w:r>
        <w:rPr>
          <w:rFonts w:ascii="Arial" w:hAnsi="Arial" w:cstheme="minorHAnsi"/>
        </w:rPr>
        <w:t xml:space="preserve"> our homes and the places we live.</w:t>
      </w:r>
    </w:p>
    <w:p w14:paraId="186D5B2A" w14:textId="77777777" w:rsidR="00767E28" w:rsidRDefault="00F90E01">
      <w:pPr>
        <w:numPr>
          <w:ilvl w:val="0"/>
          <w:numId w:val="9"/>
        </w:numPr>
        <w:spacing w:after="0"/>
        <w:textAlignment w:val="baseline"/>
      </w:pPr>
      <w:r>
        <w:rPr>
          <w:rFonts w:ascii="Arial" w:hAnsi="Arial" w:cstheme="minorHAnsi"/>
          <w:b/>
        </w:rPr>
        <w:t xml:space="preserve">Identify key elements of social infrastructure, including important VCSE community centres in </w:t>
      </w:r>
      <w:r>
        <w:rPr>
          <w:rFonts w:ascii="Arial" w:hAnsi="Arial" w:cstheme="minorHAnsi"/>
          <w:b/>
          <w:bCs/>
        </w:rPr>
        <w:t>GMCA’s Spatial Framework</w:t>
      </w:r>
    </w:p>
    <w:p w14:paraId="364F2423" w14:textId="77777777" w:rsidR="00767E28" w:rsidRDefault="00F90E01">
      <w:pPr>
        <w:numPr>
          <w:ilvl w:val="0"/>
          <w:numId w:val="9"/>
        </w:numPr>
        <w:spacing w:after="0"/>
        <w:textAlignment w:val="baseline"/>
      </w:pPr>
      <w:r>
        <w:rPr>
          <w:rFonts w:ascii="Arial" w:hAnsi="Arial" w:cstheme="minorHAnsi"/>
          <w:b/>
          <w:bCs/>
        </w:rPr>
        <w:t>I</w:t>
      </w:r>
      <w:r>
        <w:rPr>
          <w:rFonts w:ascii="Arial" w:hAnsi="Arial" w:cstheme="minorHAnsi"/>
          <w:b/>
        </w:rPr>
        <w:t>nvest and support Community-led Housing and Neighbourhood Planning efforts</w:t>
      </w:r>
    </w:p>
    <w:p w14:paraId="152A304E" w14:textId="77777777" w:rsidR="00767E28" w:rsidRDefault="00F90E01">
      <w:pPr>
        <w:numPr>
          <w:ilvl w:val="0"/>
          <w:numId w:val="9"/>
        </w:numPr>
        <w:spacing w:after="0"/>
        <w:textAlignment w:val="baseline"/>
      </w:pPr>
      <w:r>
        <w:rPr>
          <w:rFonts w:ascii="Arial" w:hAnsi="Arial" w:cstheme="minorHAnsi"/>
          <w:b/>
        </w:rPr>
        <w:t>Influence large developers</w:t>
      </w:r>
      <w:r>
        <w:rPr>
          <w:rFonts w:ascii="Arial" w:hAnsi="Arial" w:cstheme="minorHAnsi"/>
          <w:b/>
        </w:rPr>
        <w:t xml:space="preserve"> to boost community ownership in their plans for big developments</w:t>
      </w:r>
    </w:p>
    <w:p w14:paraId="0E8BCECB" w14:textId="77777777" w:rsidR="00767E28" w:rsidRDefault="00F90E01">
      <w:pPr>
        <w:numPr>
          <w:ilvl w:val="0"/>
          <w:numId w:val="9"/>
        </w:numPr>
        <w:spacing w:after="0"/>
        <w:textAlignment w:val="baseline"/>
      </w:pPr>
      <w:r>
        <w:rPr>
          <w:rFonts w:ascii="Arial" w:hAnsi="Arial" w:cstheme="minorHAnsi"/>
          <w:b/>
          <w:color w:val="000000"/>
        </w:rPr>
        <w:t>C</w:t>
      </w:r>
      <w:r>
        <w:rPr>
          <w:rFonts w:ascii="Arial" w:hAnsi="Arial"/>
          <w:b/>
          <w:color w:val="000000" w:themeColor="text1"/>
        </w:rPr>
        <w:t>o-ordinate with VCSE sector organisations to tackle the issue of homelessness across Greater Manchester</w:t>
      </w:r>
    </w:p>
    <w:p w14:paraId="24890CE7" w14:textId="77777777" w:rsidR="00767E28" w:rsidRDefault="00F90E01">
      <w:pPr>
        <w:pStyle w:val="Heading2"/>
        <w:numPr>
          <w:ilvl w:val="1"/>
          <w:numId w:val="26"/>
        </w:numPr>
      </w:pPr>
      <w:r>
        <w:t>3.6 Sustainable community organisations</w:t>
      </w:r>
    </w:p>
    <w:p w14:paraId="38C0B483" w14:textId="77777777" w:rsidR="00767E28" w:rsidRDefault="00F90E01">
      <w:pPr>
        <w:numPr>
          <w:ilvl w:val="0"/>
          <w:numId w:val="10"/>
        </w:numPr>
        <w:spacing w:after="0"/>
        <w:textAlignment w:val="baseline"/>
      </w:pPr>
      <w:r>
        <w:rPr>
          <w:rFonts w:ascii="Arial" w:hAnsi="Arial" w:cstheme="minorHAnsi"/>
          <w:b/>
        </w:rPr>
        <w:t xml:space="preserve">Provide specific grants, and initiatives for </w:t>
      </w:r>
      <w:r>
        <w:rPr>
          <w:rFonts w:ascii="Arial" w:hAnsi="Arial" w:cstheme="minorHAnsi"/>
          <w:b/>
        </w:rPr>
        <w:t>VCSE community centres and organisations to become Net Zero.</w:t>
      </w:r>
    </w:p>
    <w:p w14:paraId="53D9E114" w14:textId="77777777" w:rsidR="00767E28" w:rsidRDefault="00F90E01">
      <w:pPr>
        <w:pStyle w:val="Heading2"/>
        <w:numPr>
          <w:ilvl w:val="1"/>
          <w:numId w:val="27"/>
        </w:numPr>
      </w:pPr>
      <w:r>
        <w:t>3.7 Full and equitable role in the future of health delivery</w:t>
      </w:r>
    </w:p>
    <w:p w14:paraId="689C8DC9" w14:textId="77777777" w:rsidR="00767E28" w:rsidRDefault="00F90E01">
      <w:pPr>
        <w:numPr>
          <w:ilvl w:val="0"/>
          <w:numId w:val="1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driving role in health provision – such as the Alternative Provider Collaborative</w:t>
      </w:r>
    </w:p>
    <w:p w14:paraId="58F849D6" w14:textId="77777777" w:rsidR="00767E28" w:rsidRDefault="00F90E01">
      <w:pPr>
        <w:numPr>
          <w:ilvl w:val="0"/>
          <w:numId w:val="11"/>
        </w:numPr>
        <w:rPr>
          <w:rFonts w:ascii="Arial" w:hAnsi="Arial"/>
          <w:b/>
          <w:bCs/>
        </w:rPr>
      </w:pPr>
      <w:commentRangeStart w:id="1"/>
      <w:r>
        <w:rPr>
          <w:rFonts w:ascii="Arial" w:hAnsi="Arial"/>
          <w:b/>
          <w:bCs/>
        </w:rPr>
        <w:t xml:space="preserve">Mental health Leadership Group missions </w:t>
      </w:r>
      <w:commentRangeEnd w:id="1"/>
      <w:r>
        <w:commentReference w:id="1"/>
      </w:r>
    </w:p>
    <w:p w14:paraId="48356D36" w14:textId="77777777" w:rsidR="00767E28" w:rsidRDefault="00F90E01">
      <w:pPr>
        <w:numPr>
          <w:ilvl w:val="0"/>
          <w:numId w:val="11"/>
        </w:numPr>
      </w:pPr>
      <w:r>
        <w:rPr>
          <w:rFonts w:ascii="Arial" w:hAnsi="Arial"/>
          <w:b/>
          <w:bCs/>
        </w:rPr>
        <w:t xml:space="preserve">Maximise the role of people and communities to sustain and grow preventative activity </w:t>
      </w:r>
      <w:r>
        <w:rPr>
          <w:rFonts w:ascii="Arial" w:hAnsi="Arial"/>
          <w:bCs/>
        </w:rPr>
        <w:t xml:space="preserve">(including through activities such as Social Prescribing, universal and targeted wellbeing and prevention work) </w:t>
      </w:r>
      <w:r>
        <w:rPr>
          <w:rFonts w:ascii="Arial" w:hAnsi="Arial"/>
          <w:b/>
          <w:bCs/>
        </w:rPr>
        <w:t>which addresses the wider social determinants of health an</w:t>
      </w:r>
      <w:r>
        <w:rPr>
          <w:rFonts w:ascii="Arial" w:hAnsi="Arial"/>
          <w:b/>
          <w:bCs/>
        </w:rPr>
        <w:t>d / or activities which support the individuals and groups who are at greatest risk of poor health.</w:t>
      </w:r>
    </w:p>
    <w:p w14:paraId="44AB7B9F" w14:textId="77777777" w:rsidR="00767E28" w:rsidRDefault="00F90E01">
      <w:pPr>
        <w:pStyle w:val="Heading1"/>
        <w:spacing w:before="280" w:after="280"/>
      </w:pPr>
      <w:r>
        <w:t>Appendix 1:</w:t>
      </w:r>
    </w:p>
    <w:p w14:paraId="01B255C9" w14:textId="77777777" w:rsidR="00767E28" w:rsidRDefault="00F90E01">
      <w:pPr>
        <w:pStyle w:val="ListParagraph"/>
        <w:numPr>
          <w:ilvl w:val="0"/>
          <w:numId w:val="4"/>
        </w:numPr>
        <w:spacing w:after="0"/>
        <w:textAlignment w:val="baseline"/>
      </w:pPr>
      <w:r>
        <w:rPr>
          <w:rStyle w:val="normaltextrun"/>
          <w:rFonts w:ascii="Arial" w:hAnsi="Arial" w:cs="Calibri"/>
          <w:b/>
          <w:color w:val="000000"/>
        </w:rPr>
        <w:t>Ensure recommendations from 2021 Independent Inequalities Commission progress</w:t>
      </w:r>
      <w:r>
        <w:rPr>
          <w:rStyle w:val="normaltextrun"/>
          <w:rFonts w:ascii="Arial" w:hAnsi="Arial" w:cs="Calibri"/>
          <w:color w:val="000000"/>
        </w:rPr>
        <w:t xml:space="preserve">, with increased urgency. </w:t>
      </w:r>
    </w:p>
    <w:p w14:paraId="3191BD63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</w:rPr>
        <w:t xml:space="preserve">Commitment to more </w:t>
      </w:r>
      <w:r>
        <w:rPr>
          <w:rFonts w:ascii="Arial" w:hAnsi="Arial" w:cstheme="minorHAnsi"/>
          <w:b/>
        </w:rPr>
        <w:t xml:space="preserve">co-production and </w:t>
      </w:r>
      <w:r>
        <w:rPr>
          <w:rFonts w:ascii="Arial" w:hAnsi="Arial" w:cstheme="minorHAnsi"/>
          <w:b/>
        </w:rPr>
        <w:t>co-design with local people</w:t>
      </w:r>
      <w:r>
        <w:rPr>
          <w:rFonts w:ascii="Arial" w:hAnsi="Arial" w:cstheme="minorHAnsi"/>
        </w:rPr>
        <w:t xml:space="preserve">, rather than the use of management consultants, or the blunt instrument of conventional contract reviews. </w:t>
      </w:r>
    </w:p>
    <w:p w14:paraId="3F1B4FBE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  <w:b/>
        </w:rPr>
        <w:t>Pay us fairly – ‘Parity of Esteem’</w:t>
      </w:r>
      <w:r>
        <w:rPr>
          <w:rFonts w:ascii="Arial" w:hAnsi="Arial" w:cstheme="minorHAnsi"/>
        </w:rPr>
        <w:t xml:space="preserve"> (in line with NHS providers, incl. timely Cost of Living increases). Make commitment t</w:t>
      </w:r>
      <w:r>
        <w:rPr>
          <w:rFonts w:ascii="Arial" w:hAnsi="Arial" w:cstheme="minorHAnsi"/>
        </w:rPr>
        <w:t>o invest into VCSE organisations in place.</w:t>
      </w:r>
    </w:p>
    <w:p w14:paraId="15CEEF29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Style w:val="normaltextrun"/>
          <w:rFonts w:ascii="Arial" w:hAnsi="Arial" w:cs="Calibri"/>
          <w:color w:val="000000"/>
        </w:rPr>
        <w:t>“</w:t>
      </w:r>
      <w:r>
        <w:rPr>
          <w:rStyle w:val="normaltextrun"/>
          <w:rFonts w:ascii="Arial" w:hAnsi="Arial" w:cs="Calibri"/>
          <w:b/>
          <w:color w:val="000000"/>
        </w:rPr>
        <w:t>One workforce”</w:t>
      </w:r>
      <w:r>
        <w:rPr>
          <w:rStyle w:val="normaltextrun"/>
          <w:rFonts w:ascii="Arial" w:hAnsi="Arial" w:cs="Calibri"/>
          <w:color w:val="000000"/>
        </w:rPr>
        <w:t xml:space="preserve"> – scale up workforce strategies in Greater Manchester to include the VCSE sector. Support VCSE-specific programmes like the </w:t>
      </w:r>
      <w:hyperlink r:id="rId14">
        <w:r>
          <w:rPr>
            <w:rStyle w:val="Hyperlink"/>
            <w:rFonts w:ascii="Arial" w:hAnsi="Arial" w:cs="Calibri"/>
          </w:rPr>
          <w:t>10GM one</w:t>
        </w:r>
      </w:hyperlink>
    </w:p>
    <w:p w14:paraId="3EB9C825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  <w:b/>
        </w:rPr>
        <w:t>Establ</w:t>
      </w:r>
      <w:r>
        <w:rPr>
          <w:rFonts w:ascii="Arial" w:hAnsi="Arial" w:cstheme="minorHAnsi"/>
          <w:b/>
        </w:rPr>
        <w:t>ish Greater Manchester as a ‘social enterprise city region’</w:t>
      </w:r>
      <w:r>
        <w:rPr>
          <w:rFonts w:ascii="Arial" w:hAnsi="Arial" w:cstheme="minorHAnsi"/>
        </w:rPr>
        <w:t>.</w:t>
      </w:r>
      <w:r>
        <w:rPr>
          <w:rFonts w:ascii="Arial" w:hAnsi="Arial" w:cstheme="minorHAnsi"/>
          <w:b/>
        </w:rPr>
        <w:t> </w:t>
      </w:r>
    </w:p>
    <w:p w14:paraId="783FFB85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</w:rPr>
        <w:t xml:space="preserve">Be the first city region to </w:t>
      </w:r>
      <w:r>
        <w:rPr>
          <w:rFonts w:ascii="Arial" w:hAnsi="Arial" w:cstheme="minorHAnsi"/>
          <w:b/>
        </w:rPr>
        <w:t>adopt the socio-economy duty</w:t>
      </w:r>
      <w:r>
        <w:rPr>
          <w:rFonts w:ascii="Arial" w:hAnsi="Arial" w:cstheme="minorHAnsi"/>
        </w:rPr>
        <w:t>.</w:t>
      </w:r>
    </w:p>
    <w:p w14:paraId="49A1137A" w14:textId="77777777" w:rsidR="00767E28" w:rsidRDefault="00F90E01">
      <w:pPr>
        <w:pStyle w:val="ListParagraph"/>
        <w:numPr>
          <w:ilvl w:val="0"/>
          <w:numId w:val="4"/>
        </w:numPr>
        <w:spacing w:after="0"/>
        <w:textAlignment w:val="baseline"/>
      </w:pPr>
      <w:r>
        <w:rPr>
          <w:rFonts w:ascii="Arial" w:hAnsi="Arial" w:cstheme="minorHAnsi"/>
          <w:b/>
        </w:rPr>
        <w:t>Good homes for all</w:t>
      </w:r>
      <w:r>
        <w:rPr>
          <w:rFonts w:ascii="Arial" w:hAnsi="Arial" w:cstheme="minorHAnsi"/>
        </w:rPr>
        <w:t xml:space="preserve"> – create not a “housing strategy” but a “strategy for homes” - communities that exist around and in the local places </w:t>
      </w:r>
      <w:r>
        <w:rPr>
          <w:rFonts w:ascii="Arial" w:hAnsi="Arial" w:cstheme="minorHAnsi"/>
        </w:rPr>
        <w:t>where people live are just as important as bricks and mortar of a house</w:t>
      </w:r>
      <w:r>
        <w:rPr>
          <w:rFonts w:ascii="Arial" w:hAnsi="Arial" w:cs="Calibri"/>
        </w:rPr>
        <w:t>. VCSE groups and communities are key to this.</w:t>
      </w:r>
    </w:p>
    <w:p w14:paraId="43751A65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  <w:b/>
        </w:rPr>
        <w:t>Set up a Socio-Economic Disadvantage Action Network</w:t>
      </w:r>
      <w:r>
        <w:rPr>
          <w:rFonts w:ascii="Arial" w:hAnsi="Arial" w:cstheme="minorHAnsi"/>
        </w:rPr>
        <w:t xml:space="preserve"> </w:t>
      </w:r>
    </w:p>
    <w:p w14:paraId="7E825DD1" w14:textId="77777777" w:rsidR="00767E28" w:rsidRDefault="00F90E01">
      <w:pPr>
        <w:pStyle w:val="ListParagraph"/>
        <w:numPr>
          <w:ilvl w:val="0"/>
          <w:numId w:val="4"/>
        </w:numPr>
      </w:pPr>
      <w:r>
        <w:rPr>
          <w:rFonts w:ascii="Arial" w:hAnsi="Arial" w:cstheme="minorHAnsi"/>
        </w:rPr>
        <w:t xml:space="preserve">Turn VCSE agreements into action (i.e. </w:t>
      </w:r>
      <w:hyperlink r:id="rId15">
        <w:r>
          <w:rPr>
            <w:rStyle w:val="Hyperlink"/>
            <w:rFonts w:ascii="Arial" w:hAnsi="Arial" w:cstheme="minorHAnsi"/>
          </w:rPr>
          <w:t>The National Compact</w:t>
        </w:r>
      </w:hyperlink>
      <w:r>
        <w:rPr>
          <w:rFonts w:ascii="Arial" w:hAnsi="Arial" w:cstheme="minorHAnsi"/>
        </w:rPr>
        <w:t xml:space="preserve"> and Code of Conduct; recently agreed </w:t>
      </w:r>
      <w:hyperlink r:id="rId16">
        <w:r>
          <w:rPr>
            <w:rStyle w:val="Hyperlink"/>
            <w:rFonts w:ascii="Arial" w:hAnsi="Arial" w:cstheme="minorHAnsi"/>
          </w:rPr>
          <w:t>Fair Funding Protocol</w:t>
        </w:r>
      </w:hyperlink>
      <w:r>
        <w:rPr>
          <w:rFonts w:ascii="Arial" w:hAnsi="Arial" w:cstheme="minorHAnsi"/>
        </w:rPr>
        <w:t xml:space="preserve">; the </w:t>
      </w:r>
      <w:hyperlink r:id="rId17">
        <w:r>
          <w:rPr>
            <w:rStyle w:val="Hyperlink"/>
            <w:rFonts w:ascii="Arial" w:hAnsi="Arial" w:cstheme="minorHAnsi"/>
          </w:rPr>
          <w:t>Commissioning Framework</w:t>
        </w:r>
      </w:hyperlink>
      <w:r>
        <w:rPr>
          <w:rFonts w:ascii="Arial" w:hAnsi="Arial" w:cstheme="minorHAnsi"/>
        </w:rPr>
        <w:t xml:space="preserve">, the </w:t>
      </w:r>
      <w:hyperlink r:id="rId18">
        <w:r>
          <w:rPr>
            <w:rStyle w:val="Hyperlink"/>
            <w:rFonts w:ascii="Arial" w:hAnsi="Arial" w:cstheme="minorHAnsi"/>
          </w:rPr>
          <w:t>GM VCSE Accord</w:t>
        </w:r>
      </w:hyperlink>
      <w:r>
        <w:rPr>
          <w:rFonts w:ascii="Arial" w:hAnsi="Arial" w:cstheme="minorHAnsi"/>
        </w:rPr>
        <w:t>, GM NHS Integrated Care Partnership strategies). Progress on agreements internally at all levels and in the 10 boroughs to deliver benefit in all the communities they were designed to serve.</w:t>
      </w:r>
    </w:p>
    <w:sectPr w:rsidR="00767E28">
      <w:footerReference w:type="default" r:id="rId19"/>
      <w:pgSz w:w="11906" w:h="16838"/>
      <w:pgMar w:top="1440" w:right="1440" w:bottom="2520" w:left="1440" w:header="0" w:footer="1440" w:gutter="0"/>
      <w:cols w:space="720"/>
      <w:formProt w:val="0"/>
      <w:docGrid w:linePitch="360" w:charSpace="1638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Cooper" w:date="2024-02-22T14:21:00Z" w:initials="AC">
    <w:p w14:paraId="1C93C874" w14:textId="77777777" w:rsidR="00767E28" w:rsidRDefault="00F90E01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To add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93C87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8904" w14:textId="77777777" w:rsidR="00000000" w:rsidRDefault="00F90E01">
      <w:pPr>
        <w:spacing w:after="0" w:line="240" w:lineRule="auto"/>
      </w:pPr>
      <w:r>
        <w:separator/>
      </w:r>
    </w:p>
  </w:endnote>
  <w:endnote w:type="continuationSeparator" w:id="0">
    <w:p w14:paraId="316A2497" w14:textId="77777777" w:rsidR="00000000" w:rsidRDefault="00F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746176"/>
      <w:docPartObj>
        <w:docPartGallery w:val="Page Numbers (Bottom of Page)"/>
        <w:docPartUnique/>
      </w:docPartObj>
    </w:sdtPr>
    <w:sdtEndPr/>
    <w:sdtContent>
      <w:p w14:paraId="406190B7" w14:textId="77777777" w:rsidR="00767E28" w:rsidRDefault="00F90E01">
        <w:pPr>
          <w:pStyle w:val="Footer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  <w:lang w:eastAsia="en-GB"/>
          </w:rPr>
          <w:drawing>
            <wp:anchor distT="0" distB="0" distL="0" distR="0" simplePos="0" relativeHeight="5" behindDoc="1" locked="0" layoutInCell="0" allowOverlap="1" wp14:anchorId="018D7BD4" wp14:editId="2BD423BF">
              <wp:simplePos x="0" y="0"/>
              <wp:positionH relativeFrom="column">
                <wp:posOffset>4560570</wp:posOffset>
              </wp:positionH>
              <wp:positionV relativeFrom="paragraph">
                <wp:posOffset>109855</wp:posOffset>
              </wp:positionV>
              <wp:extent cx="1170940" cy="285115"/>
              <wp:effectExtent l="0" t="0" r="0" b="0"/>
              <wp:wrapNone/>
              <wp:docPr id="3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0940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  <w:p w14:paraId="79F99591" w14:textId="77777777" w:rsidR="00767E28" w:rsidRDefault="00F90E01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Working draft of Initial Manifesto Ideas – February 2024</w:t>
        </w:r>
      </w:p>
      <w:p w14:paraId="76EBDAC0" w14:textId="77777777" w:rsidR="00767E28" w:rsidRDefault="00F90E01">
        <w:pPr>
          <w:pStyle w:val="Foo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9B32" w14:textId="77777777" w:rsidR="00767E28" w:rsidRDefault="00F90E01">
      <w:pPr>
        <w:rPr>
          <w:sz w:val="12"/>
        </w:rPr>
      </w:pPr>
      <w:r>
        <w:separator/>
      </w:r>
    </w:p>
  </w:footnote>
  <w:footnote w:type="continuationSeparator" w:id="0">
    <w:p w14:paraId="5A72F5EA" w14:textId="77777777" w:rsidR="00767E28" w:rsidRDefault="00F90E01">
      <w:pPr>
        <w:rPr>
          <w:sz w:val="12"/>
        </w:rPr>
      </w:pPr>
      <w:r>
        <w:continuationSeparator/>
      </w:r>
    </w:p>
  </w:footnote>
  <w:footnote w:id="1">
    <w:p w14:paraId="046C24EB" w14:textId="77777777" w:rsidR="00767E28" w:rsidRDefault="00F90E01">
      <w:pPr>
        <w:pStyle w:val="FootnoteText"/>
      </w:pPr>
      <w:r>
        <w:rPr>
          <w:rStyle w:val="FootnoteCharacters"/>
        </w:rPr>
        <w:footnoteRef/>
      </w:r>
      <w:r>
        <w:tab/>
        <w:t xml:space="preserve"> See appendix 1</w:t>
      </w:r>
    </w:p>
  </w:footnote>
  <w:footnote w:id="2">
    <w:p w14:paraId="43D0F1C6" w14:textId="77777777" w:rsidR="00767E28" w:rsidRDefault="00F90E01">
      <w:pPr>
        <w:pStyle w:val="FootnoteText"/>
      </w:pPr>
      <w:r>
        <w:rPr>
          <w:rStyle w:val="FootnoteCharacters"/>
        </w:rPr>
        <w:footnoteRef/>
      </w:r>
      <w:r>
        <w:tab/>
        <w:t xml:space="preserve">See </w:t>
      </w:r>
      <w:hyperlink r:id="rId1">
        <w:r>
          <w:rPr>
            <w:rStyle w:val="Hyperlink"/>
          </w:rPr>
          <w:t>greatermanchester-ca.gov.uk/media/4605/the-next-level-good-lives-for-all-in-greater-manchester.pdf</w:t>
        </w:r>
      </w:hyperlink>
      <w:r>
        <w:t xml:space="preserve"> and </w:t>
      </w:r>
      <w:hyperlink r:id="rId2">
        <w:r>
          <w:rPr>
            <w:rStyle w:val="Hyperlink"/>
          </w:rPr>
          <w:t>democracy.grea</w:t>
        </w:r>
        <w:r>
          <w:rPr>
            <w:rStyle w:val="Hyperlink"/>
          </w:rPr>
          <w:t>termanchester-ca.gov.uk/documents/s26701/14%20GMCA_Report_Inclusive%20Ownership%20Hub%20May%202023%20final.pdf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06C"/>
    <w:multiLevelType w:val="multilevel"/>
    <w:tmpl w:val="DAD24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0664ED"/>
    <w:multiLevelType w:val="multilevel"/>
    <w:tmpl w:val="5978A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077E79"/>
    <w:multiLevelType w:val="multilevel"/>
    <w:tmpl w:val="7408E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D43396"/>
    <w:multiLevelType w:val="multilevel"/>
    <w:tmpl w:val="8AF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7CB0A40"/>
    <w:multiLevelType w:val="multilevel"/>
    <w:tmpl w:val="DB7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8EC4247"/>
    <w:multiLevelType w:val="multilevel"/>
    <w:tmpl w:val="BC5A7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FF3137"/>
    <w:multiLevelType w:val="multilevel"/>
    <w:tmpl w:val="865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C17387D"/>
    <w:multiLevelType w:val="multilevel"/>
    <w:tmpl w:val="9E42C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FA0636"/>
    <w:multiLevelType w:val="multilevel"/>
    <w:tmpl w:val="D558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DB767BD"/>
    <w:multiLevelType w:val="multilevel"/>
    <w:tmpl w:val="0EFE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BAF3AEF"/>
    <w:multiLevelType w:val="multilevel"/>
    <w:tmpl w:val="5B6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C1929BD"/>
    <w:multiLevelType w:val="multilevel"/>
    <w:tmpl w:val="CB2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39967FE"/>
    <w:multiLevelType w:val="multilevel"/>
    <w:tmpl w:val="9AB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1000BC2"/>
    <w:multiLevelType w:val="multilevel"/>
    <w:tmpl w:val="8F6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6B15D81"/>
    <w:multiLevelType w:val="multilevel"/>
    <w:tmpl w:val="B7908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6C905EB"/>
    <w:multiLevelType w:val="multilevel"/>
    <w:tmpl w:val="52D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0BD4862"/>
    <w:multiLevelType w:val="multilevel"/>
    <w:tmpl w:val="33025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E1A6E77"/>
    <w:multiLevelType w:val="multilevel"/>
    <w:tmpl w:val="24E60DC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FFC314E"/>
    <w:multiLevelType w:val="multilevel"/>
    <w:tmpl w:val="51CA4B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8"/>
  </w:num>
  <w:num w:numId="20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7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28"/>
    <w:rsid w:val="00767E28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A286"/>
  <w15:docId w15:val="{748B54EC-C2B4-44F3-8D3F-AD3F1CB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E86C50"/>
    <w:pPr>
      <w:numPr>
        <w:numId w:val="1"/>
      </w:numPr>
      <w:shd w:val="clear" w:color="auto" w:fill="2E7250"/>
      <w:spacing w:beforeAutospacing="1" w:afterAutospacing="1" w:line="240" w:lineRule="auto"/>
      <w:outlineLvl w:val="0"/>
    </w:pPr>
    <w:rPr>
      <w:rFonts w:ascii="Arial" w:eastAsia="Times New Roman" w:hAnsi="Arial" w:cs="Times New Roman"/>
      <w:b/>
      <w:bCs/>
      <w:color w:val="FFFFFF"/>
      <w:kern w:val="2"/>
      <w:sz w:val="32"/>
      <w:szCs w:val="32"/>
      <w:lang w:eastAsia="en-GB"/>
    </w:rPr>
  </w:style>
  <w:style w:type="paragraph" w:styleId="Heading2">
    <w:name w:val="heading 2"/>
    <w:basedOn w:val="Heading"/>
    <w:next w:val="BodyText"/>
    <w:link w:val="Heading2Char"/>
    <w:qFormat/>
    <w:pPr>
      <w:shd w:val="clear" w:color="auto" w:fill="8A385A"/>
      <w:spacing w:before="200" w:line="240" w:lineRule="auto"/>
      <w:outlineLvl w:val="1"/>
    </w:pPr>
    <w:rPr>
      <w:rFonts w:ascii="Arial" w:hAnsi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F56CD6"/>
  </w:style>
  <w:style w:type="character" w:customStyle="1" w:styleId="eop">
    <w:name w:val="eop"/>
    <w:basedOn w:val="DefaultParagraphFont"/>
    <w:qFormat/>
    <w:rsid w:val="00F56CD6"/>
  </w:style>
  <w:style w:type="character" w:styleId="Hyperlink">
    <w:name w:val="Hyperlink"/>
    <w:basedOn w:val="DefaultParagraphFont"/>
    <w:uiPriority w:val="99"/>
    <w:unhideWhenUsed/>
    <w:rsid w:val="00947AD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518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637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6373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373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37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86C50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E2DB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styleId="FollowedHyperlink">
    <w:name w:val="FollowedHyperlink"/>
    <w:basedOn w:val="DefaultParagraphFont"/>
    <w:uiPriority w:val="99"/>
    <w:semiHidden/>
    <w:unhideWhenUsed/>
    <w:rsid w:val="00D9470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7B3505"/>
    <w:rPr>
      <w:rFonts w:ascii="Arial" w:eastAsia="Microsoft YaHei" w:hAnsi="Arial" w:cs="Lucida Sans"/>
      <w:b/>
      <w:bCs/>
      <w:color w:val="FFFFFF"/>
      <w:sz w:val="24"/>
      <w:szCs w:val="24"/>
      <w:shd w:val="clear" w:color="auto" w:fill="8A385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56CD6"/>
    <w:pPr>
      <w:ind w:left="720"/>
      <w:contextualSpacing/>
    </w:pPr>
  </w:style>
  <w:style w:type="paragraph" w:customStyle="1" w:styleId="paragraph">
    <w:name w:val="paragraph"/>
    <w:basedOn w:val="Normal"/>
    <w:qFormat/>
    <w:rsid w:val="00F56C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5951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6373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63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37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Heading"/>
    <w:next w:val="BodyText"/>
    <w:qFormat/>
    <w:pPr>
      <w:shd w:val="clear" w:color="auto" w:fill="F7CAAC" w:themeFill="accent2" w:themeFillTint="66"/>
    </w:pPr>
    <w:rPr>
      <w:rFonts w:ascii="Calibri" w:hAnsi="Calibri"/>
      <w:b/>
      <w:bCs/>
      <w:sz w:val="32"/>
      <w:szCs w:val="32"/>
    </w:rPr>
  </w:style>
  <w:style w:type="paragraph" w:styleId="IndexHeading">
    <w:name w:val="index heading"/>
    <w:basedOn w:val="Heading"/>
  </w:style>
  <w:style w:type="paragraph" w:styleId="TOCHeading">
    <w:name w:val="TOC Heading"/>
    <w:basedOn w:val="IndexHeading"/>
  </w:style>
  <w:style w:type="paragraph" w:styleId="TOC2">
    <w:name w:val="toc 2"/>
    <w:basedOn w:val="Index"/>
    <w:pPr>
      <w:tabs>
        <w:tab w:val="right" w:leader="dot" w:pos="8743"/>
      </w:tabs>
      <w:ind w:left="283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  <w:style w:type="paragraph" w:styleId="FootnoteText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greatermanchester-ca.gov.uk/media/5207/gm-vcse-accord-2021-2026-final-signed-october-2021-for-publicatio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gmcvo.org.uk/publications/vcse-commissioning-framework-and-delivery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mocracy.greatermanchester-ca.gov.uk/ieDecisionDetails.aspx?ID=23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media/5a79eacced915d6b1deb449c/The_20Compact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10gm.org.uk/vcseworkforc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emocracy.greatermanchester-ca.gov.uk/documents/s26701/14%20GMCA_Report_Inclusive%20Ownership%20Hub%20May%202023%20final.pdf" TargetMode="External"/><Relationship Id="rId1" Type="http://schemas.openxmlformats.org/officeDocument/2006/relationships/hyperlink" Target="http://greatermanchester-ca.gov.uk/media/4605/the-next-level-good-lives-for-all-in-greater-manche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b85958c-fbc6-425a-959c-ba49947e0f7e" xsi:nil="true"/>
    <lcf76f155ced4ddcb4097134ff3c332f xmlns="cb85958c-fbc6-425a-959c-ba49947e0f7e">
      <Terms xmlns="http://schemas.microsoft.com/office/infopath/2007/PartnerControls"/>
    </lcf76f155ced4ddcb4097134ff3c332f>
    <TaxCatchAll xmlns="a1a58af3-2912-4b2c-9f2f-264f6935ce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9" ma:contentTypeDescription="Create a new document." ma:contentTypeScope="" ma:versionID="1e576d0efadb0f7b4bded364e4e11cf1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5c4271d030bdf6252eea6ec7f903dad5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a4ed6a-f335-4bf4-908a-1679b3f76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c9ef67-0b4f-46d4-9e7f-59b94a3a9c00}" ma:internalName="TaxCatchAll" ma:showField="CatchAllData" ma:web="a1a58af3-2912-4b2c-9f2f-264f6935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FB70-4062-4F67-B934-6BE38DE404B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b85958c-fbc6-425a-959c-ba49947e0f7e"/>
    <ds:schemaRef ds:uri="http://purl.org/dc/elements/1.1/"/>
    <ds:schemaRef ds:uri="http://schemas.microsoft.com/office/2006/metadata/properties"/>
    <ds:schemaRef ds:uri="a1a58af3-2912-4b2c-9f2f-264f6935ce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45CC1C-DF07-49BD-9DCB-974C2B22E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07C17-F34A-444F-8EEB-F0D8C58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958c-fbc6-425a-959c-ba49947e0f7e"/>
    <ds:schemaRef ds:uri="a1a58af3-2912-4b2c-9f2f-264f6935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89DFD-5D64-4F34-8D3A-317845F6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Cooper</dc:creator>
  <dc:description/>
  <cp:lastModifiedBy>Anna Cooper</cp:lastModifiedBy>
  <cp:revision>2</cp:revision>
  <dcterms:created xsi:type="dcterms:W3CDTF">2024-02-22T15:56:00Z</dcterms:created>
  <dcterms:modified xsi:type="dcterms:W3CDTF">2024-02-22T15:56:00Z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0x010100B96CAADCB626BB4B9068FA16212766CD</vt:lpwstr>
  </property>
  <property fmtid="{D5CDD505-2E9C-101B-9397-08002B2CF9AE}" pid="3" name="MediaServiceImageTags">
    <vt:lpwstr/>
  </property>
</Properties>
</file>